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8C3" w:rsidRPr="00D77687" w:rsidRDefault="00D77687" w:rsidP="003018C3">
      <w:pPr>
        <w:spacing w:before="100" w:beforeAutospacing="1" w:after="100" w:afterAutospacing="1" w:line="240" w:lineRule="auto"/>
        <w:rPr>
          <w:rFonts w:ascii="Kinetic Letters" w:eastAsia="Times New Roman" w:hAnsi="Kinetic Letters" w:cs="Times New Roman"/>
          <w:b/>
          <w:bCs/>
          <w:color w:val="2E74B5" w:themeColor="accent1" w:themeShade="BF"/>
          <w:sz w:val="48"/>
          <w:szCs w:val="24"/>
          <w:lang w:eastAsia="en-GB"/>
        </w:rPr>
      </w:pPr>
      <w:bookmarkStart w:id="0" w:name="_GoBack"/>
      <w:r w:rsidRPr="00D77687">
        <w:rPr>
          <w:rFonts w:ascii="Kinetic Letters" w:eastAsia="Times New Roman" w:hAnsi="Kinetic Letters" w:cs="Times New Roman"/>
          <w:b/>
          <w:bCs/>
          <w:color w:val="2E74B5" w:themeColor="accent1" w:themeShade="BF"/>
          <w:sz w:val="48"/>
          <w:szCs w:val="24"/>
          <w:lang w:eastAsia="en-GB"/>
        </w:rPr>
        <w:t>Additional strategies from Voice 21</w:t>
      </w:r>
    </w:p>
    <w:bookmarkEnd w:id="0"/>
    <w:p w:rsidR="00D77687" w:rsidRPr="00D77687" w:rsidRDefault="00D77687" w:rsidP="003018C3">
      <w:pPr>
        <w:spacing w:before="100" w:beforeAutospacing="1" w:after="100" w:afterAutospacing="1" w:line="240" w:lineRule="auto"/>
        <w:rPr>
          <w:rFonts w:ascii="Kinetic Letters" w:eastAsia="Times New Roman" w:hAnsi="Kinetic Letters" w:cs="Times New Roman"/>
          <w:b/>
          <w:bCs/>
          <w:sz w:val="32"/>
          <w:szCs w:val="24"/>
          <w:lang w:eastAsia="en-GB"/>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Think-Pair-Share</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Students first think individually about a question or problem, then pair up to discuss their thoughts, and finally share their conclusions with the larger group. This method encourages individual reflection, verbal communication, and collaborative learning. It has been shown to enhance students' understanding and retention of material.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4" w:tgtFrame="_blank" w:history="1">
        <w:proofErr w:type="spellStart"/>
        <w:r w:rsidR="003018C3" w:rsidRPr="00D77687">
          <w:rPr>
            <w:rFonts w:ascii="Kinetic Letters" w:eastAsia="Times New Roman" w:hAnsi="Kinetic Letters" w:cs="Times New Roman"/>
            <w:color w:val="0000FF"/>
            <w:sz w:val="32"/>
            <w:szCs w:val="24"/>
            <w:u w:val="single"/>
            <w:lang w:eastAsia="en-GB"/>
          </w:rPr>
          <w:t>Edutopia</w:t>
        </w:r>
        <w:proofErr w:type="spellEnd"/>
      </w:hyperlink>
    </w:p>
    <w:p w:rsidR="003018C3" w:rsidRPr="00D77687" w:rsidRDefault="003018C3" w:rsidP="003018C3">
      <w:pPr>
        <w:spacing w:before="100" w:beforeAutospacing="1" w:after="100" w:afterAutospacing="1" w:line="240" w:lineRule="auto"/>
        <w:rPr>
          <w:rFonts w:ascii="Kinetic Letters" w:eastAsia="Times New Roman" w:hAnsi="Kinetic Letters" w:cs="Times New Roman"/>
          <w:b/>
          <w:bCs/>
          <w:sz w:val="32"/>
          <w:szCs w:val="24"/>
          <w:lang w:eastAsia="en-GB"/>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Talking Points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Present students with provocative or open-ended statements related to the lesson's topic. In pairs or small groups, students discuss these statements, encouraging them to articulate their reasoning and consider different perspectives. This activity promotes critical thinking and deepens understanding.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5"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p>
    <w:p w:rsidR="00B04C12" w:rsidRPr="00D77687" w:rsidRDefault="00B04C12">
      <w:pPr>
        <w:rPr>
          <w:rFonts w:ascii="Kinetic Letters" w:hAnsi="Kinetic Letters"/>
          <w:sz w:val="28"/>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Listening Ladder</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Use the Listening Ladder to teach students the different levels of listening, from passive to active engagement. In pairs, one student shares an idea while the other practices active listening techniques, then they switch roles. This helps students become more aware of their listening habits and improve their active listening skills.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6" w:tgtFrame="_blank" w:history="1">
        <w:r w:rsidR="003018C3" w:rsidRPr="00D77687">
          <w:rPr>
            <w:rFonts w:ascii="Kinetic Letters" w:eastAsia="Times New Roman" w:hAnsi="Kinetic Letters" w:cs="Times New Roman"/>
            <w:color w:val="0000FF"/>
            <w:sz w:val="32"/>
            <w:szCs w:val="24"/>
            <w:u w:val="single"/>
            <w:lang w:eastAsia="en-GB"/>
          </w:rPr>
          <w:t>Voice 21</w:t>
        </w:r>
      </w:hyperlink>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Group Discussion Guidelines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Collaboratively establish a set of guidelines with students that promote effective group discussions, such as taking turns, asking clarifying questions, and building on others' ideas. Display these guidelines during group activities to reinforce positive communication </w:t>
      </w:r>
      <w:proofErr w:type="spellStart"/>
      <w:r w:rsidRPr="00D77687">
        <w:rPr>
          <w:rFonts w:ascii="Kinetic Letters" w:eastAsia="Times New Roman" w:hAnsi="Kinetic Letters" w:cs="Times New Roman"/>
          <w:sz w:val="32"/>
          <w:szCs w:val="24"/>
          <w:lang w:eastAsia="en-GB"/>
        </w:rPr>
        <w:t>behaviors</w:t>
      </w:r>
      <w:proofErr w:type="spellEnd"/>
      <w:r w:rsidRPr="00D77687">
        <w:rPr>
          <w:rFonts w:ascii="Kinetic Letters" w:eastAsia="Times New Roman" w:hAnsi="Kinetic Letters" w:cs="Times New Roman"/>
          <w:sz w:val="32"/>
          <w:szCs w:val="24"/>
          <w:lang w:eastAsia="en-GB"/>
        </w:rPr>
        <w:t xml:space="preserve">.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7"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p>
    <w:p w:rsidR="003018C3" w:rsidRPr="00D77687" w:rsidRDefault="003018C3">
      <w:pPr>
        <w:rPr>
          <w:rFonts w:ascii="Kinetic Letters" w:hAnsi="Kinetic Letters"/>
          <w:sz w:val="28"/>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Storytelling Circles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In small groups, students take turns telling parts of a story, building upon each other's contributions. This activity fosters creativity, active listening, and collaborative narrative skills.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8" w:tgtFrame="_blank" w:history="1">
        <w:r w:rsidR="003018C3" w:rsidRPr="00D77687">
          <w:rPr>
            <w:rFonts w:ascii="Kinetic Letters" w:eastAsia="Times New Roman" w:hAnsi="Kinetic Letters" w:cs="Times New Roman"/>
            <w:color w:val="0000FF"/>
            <w:sz w:val="32"/>
            <w:szCs w:val="24"/>
            <w:u w:val="single"/>
            <w:lang w:eastAsia="en-GB"/>
          </w:rPr>
          <w:t>Voice 21</w:t>
        </w:r>
      </w:hyperlink>
      <w:r w:rsidR="003018C3" w:rsidRPr="00D77687">
        <w:rPr>
          <w:rFonts w:ascii="Kinetic Letters" w:eastAsia="Times New Roman" w:hAnsi="Kinetic Letters" w:cs="Times New Roman"/>
          <w:sz w:val="32"/>
          <w:szCs w:val="24"/>
          <w:lang w:eastAsia="en-GB"/>
        </w:rPr>
        <w:t xml:space="preserve">  (Great for collaboratively developing explanations of processes too)</w:t>
      </w:r>
    </w:p>
    <w:p w:rsidR="003018C3" w:rsidRPr="00D77687" w:rsidRDefault="003018C3">
      <w:pPr>
        <w:rPr>
          <w:rFonts w:ascii="Kinetic Letters" w:hAnsi="Kinetic Letters"/>
          <w:sz w:val="28"/>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proofErr w:type="spellStart"/>
      <w:r w:rsidRPr="00D77687">
        <w:rPr>
          <w:rFonts w:ascii="Kinetic Letters" w:eastAsia="Times New Roman" w:hAnsi="Kinetic Letters" w:cs="Times New Roman"/>
          <w:b/>
          <w:bCs/>
          <w:sz w:val="32"/>
          <w:szCs w:val="24"/>
          <w:lang w:eastAsia="en-GB"/>
        </w:rPr>
        <w:t>Oracy</w:t>
      </w:r>
      <w:proofErr w:type="spellEnd"/>
      <w:r w:rsidRPr="00D77687">
        <w:rPr>
          <w:rFonts w:ascii="Kinetic Letters" w:eastAsia="Times New Roman" w:hAnsi="Kinetic Letters" w:cs="Times New Roman"/>
          <w:b/>
          <w:bCs/>
          <w:sz w:val="32"/>
          <w:szCs w:val="24"/>
          <w:lang w:eastAsia="en-GB"/>
        </w:rPr>
        <w:t xml:space="preserve"> Role Cards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Provide students with role cards that assign specific communication responsibilities during group discussions, such as summarizer, questioner, or challenger. This ensures diverse participation and helps students practice different aspects of effective communication.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9"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Talk Detectives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Assign students the role of 'Talk Detectives' during discussions, where they observe and provide feedback on their peers' use of discussion guidelines. This encourages metacognition and reinforces effective communication practices.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10" w:tgtFrame="_blank" w:history="1">
        <w:r w:rsidR="003018C3" w:rsidRPr="00D77687">
          <w:rPr>
            <w:rFonts w:ascii="Kinetic Letters" w:eastAsia="Times New Roman" w:hAnsi="Kinetic Letters" w:cs="Times New Roman"/>
            <w:color w:val="0000FF"/>
            <w:sz w:val="32"/>
            <w:szCs w:val="24"/>
            <w:u w:val="single"/>
            <w:lang w:eastAsia="en-GB"/>
          </w:rPr>
          <w:t>Voice 21</w:t>
        </w:r>
      </w:hyperlink>
    </w:p>
    <w:p w:rsidR="003018C3" w:rsidRPr="00D77687" w:rsidRDefault="003018C3" w:rsidP="003018C3">
      <w:pPr>
        <w:spacing w:after="0" w:line="240" w:lineRule="auto"/>
        <w:rPr>
          <w:rFonts w:ascii="Kinetic Letters" w:eastAsia="Times New Roman" w:hAnsi="Kinetic Letters" w:cs="Times New Roman"/>
          <w:sz w:val="32"/>
          <w:szCs w:val="24"/>
          <w:lang w:eastAsia="en-GB"/>
        </w:rPr>
      </w:pPr>
    </w:p>
    <w:p w:rsidR="003018C3" w:rsidRPr="00D77687" w:rsidRDefault="003018C3">
      <w:pPr>
        <w:rPr>
          <w:rFonts w:ascii="Kinetic Letters" w:hAnsi="Kinetic Letters"/>
          <w:sz w:val="28"/>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Fishbowl Discussions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Arrange a small group of students in an inner circle to discuss a topic while the rest of the class observes from an outer circle. After the discussion, observers provide feedback on the communication strategies used, and roles are then switched. This allows students to reflect on effective discussion techniques.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11"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Talk Tokens</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lastRenderedPageBreak/>
        <w:t xml:space="preserve">Provide students with a set number of tokens representing their opportunities to contribute during a discussion. This encourages thoughtful participation and ensures equitable involvement.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12" w:tgtFrame="_blank" w:history="1">
        <w:r w:rsidR="003018C3" w:rsidRPr="00D77687">
          <w:rPr>
            <w:rFonts w:ascii="Kinetic Letters" w:eastAsia="Times New Roman" w:hAnsi="Kinetic Letters" w:cs="Times New Roman"/>
            <w:color w:val="0000FF"/>
            <w:sz w:val="32"/>
            <w:szCs w:val="24"/>
            <w:u w:val="single"/>
            <w:lang w:eastAsia="en-GB"/>
          </w:rPr>
          <w:t>Voice 21</w:t>
        </w:r>
      </w:hyperlink>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Presentational Talk</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Teach students the skills needed for effective public speaking, such as clarity, pacing, and audience engagement. Provide opportunities for students to practice these skills through presentations or speeches.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13"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p>
    <w:p w:rsidR="003018C3" w:rsidRPr="00D77687" w:rsidRDefault="003018C3">
      <w:pPr>
        <w:rPr>
          <w:rFonts w:ascii="Kinetic Letters" w:hAnsi="Kinetic Letters"/>
          <w:sz w:val="28"/>
        </w:rPr>
      </w:pP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b/>
          <w:bCs/>
          <w:sz w:val="32"/>
          <w:szCs w:val="24"/>
          <w:lang w:eastAsia="en-GB"/>
        </w:rPr>
        <w:t>Exploratory Talk</w:t>
      </w:r>
    </w:p>
    <w:p w:rsidR="003018C3" w:rsidRPr="00D77687" w:rsidRDefault="003018C3" w:rsidP="003018C3">
      <w:pPr>
        <w:spacing w:before="100" w:beforeAutospacing="1" w:after="100" w:afterAutospacing="1" w:line="240" w:lineRule="auto"/>
        <w:rPr>
          <w:rFonts w:ascii="Kinetic Letters" w:eastAsia="Times New Roman" w:hAnsi="Kinetic Letters" w:cs="Times New Roman"/>
          <w:sz w:val="32"/>
          <w:szCs w:val="24"/>
          <w:lang w:eastAsia="en-GB"/>
        </w:rPr>
      </w:pPr>
      <w:r w:rsidRPr="00D77687">
        <w:rPr>
          <w:rFonts w:ascii="Kinetic Letters" w:eastAsia="Times New Roman" w:hAnsi="Kinetic Letters" w:cs="Times New Roman"/>
          <w:sz w:val="32"/>
          <w:szCs w:val="24"/>
          <w:lang w:eastAsia="en-GB"/>
        </w:rPr>
        <w:t xml:space="preserve">Encourage students to engage in exploratory talk, where they collaboratively build understanding through dialogue. This involves sharing ideas, challenging assumptions, and reasoning together to deepen comprehension. </w:t>
      </w:r>
    </w:p>
    <w:p w:rsidR="003018C3" w:rsidRPr="00D77687" w:rsidRDefault="00D77687" w:rsidP="003018C3">
      <w:pPr>
        <w:spacing w:after="0" w:line="240" w:lineRule="auto"/>
        <w:rPr>
          <w:rFonts w:ascii="Kinetic Letters" w:eastAsia="Times New Roman" w:hAnsi="Kinetic Letters" w:cs="Times New Roman"/>
          <w:sz w:val="32"/>
          <w:szCs w:val="24"/>
          <w:lang w:eastAsia="en-GB"/>
        </w:rPr>
      </w:pPr>
      <w:hyperlink r:id="rId14" w:tgtFrame="_blank" w:history="1">
        <w:proofErr w:type="spellStart"/>
        <w:r w:rsidR="003018C3" w:rsidRPr="00D77687">
          <w:rPr>
            <w:rFonts w:ascii="Kinetic Letters" w:eastAsia="Times New Roman" w:hAnsi="Kinetic Letters" w:cs="Times New Roman"/>
            <w:color w:val="0000FF"/>
            <w:sz w:val="32"/>
            <w:szCs w:val="24"/>
            <w:u w:val="single"/>
            <w:lang w:eastAsia="en-GB"/>
          </w:rPr>
          <w:t>Oracy</w:t>
        </w:r>
        <w:proofErr w:type="spellEnd"/>
        <w:r w:rsidR="003018C3" w:rsidRPr="00D77687">
          <w:rPr>
            <w:rFonts w:ascii="Kinetic Letters" w:eastAsia="Times New Roman" w:hAnsi="Kinetic Letters" w:cs="Times New Roman"/>
            <w:color w:val="0000FF"/>
            <w:sz w:val="32"/>
            <w:szCs w:val="24"/>
            <w:u w:val="single"/>
            <w:lang w:eastAsia="en-GB"/>
          </w:rPr>
          <w:t xml:space="preserve"> Cambridge</w:t>
        </w:r>
      </w:hyperlink>
      <w:r w:rsidR="003018C3" w:rsidRPr="00D77687">
        <w:rPr>
          <w:rFonts w:ascii="Kinetic Letters" w:eastAsia="Times New Roman" w:hAnsi="Kinetic Letters" w:cs="Times New Roman"/>
          <w:sz w:val="32"/>
          <w:szCs w:val="24"/>
          <w:lang w:eastAsia="en-GB"/>
        </w:rPr>
        <w:t xml:space="preserve">   - How can providing sentence stems for questioning keep this focussed and effective?</w:t>
      </w:r>
    </w:p>
    <w:p w:rsidR="003018C3" w:rsidRPr="00D77687" w:rsidRDefault="003018C3">
      <w:pPr>
        <w:rPr>
          <w:rFonts w:ascii="Kinetic Letters" w:hAnsi="Kinetic Letters"/>
          <w:sz w:val="28"/>
        </w:rPr>
      </w:pPr>
    </w:p>
    <w:p w:rsidR="003018C3" w:rsidRPr="00D77687" w:rsidRDefault="003018C3">
      <w:pPr>
        <w:rPr>
          <w:rFonts w:ascii="Kinetic Letters" w:hAnsi="Kinetic Letters"/>
          <w:sz w:val="28"/>
        </w:rPr>
      </w:pPr>
    </w:p>
    <w:sectPr w:rsidR="003018C3" w:rsidRPr="00D77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8C3"/>
    <w:rsid w:val="003018C3"/>
    <w:rsid w:val="00B04C12"/>
    <w:rsid w:val="00D15EAE"/>
    <w:rsid w:val="00D7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ED415"/>
  <w15:chartTrackingRefBased/>
  <w15:docId w15:val="{1BE96AD1-767D-4092-9749-28AE6577B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18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18C3"/>
    <w:rPr>
      <w:b/>
      <w:bCs/>
    </w:rPr>
  </w:style>
  <w:style w:type="character" w:customStyle="1" w:styleId="truncate">
    <w:name w:val="truncate"/>
    <w:basedOn w:val="DefaultParagraphFont"/>
    <w:rsid w:val="00301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9906">
      <w:bodyDiv w:val="1"/>
      <w:marLeft w:val="0"/>
      <w:marRight w:val="0"/>
      <w:marTop w:val="0"/>
      <w:marBottom w:val="0"/>
      <w:divBdr>
        <w:top w:val="none" w:sz="0" w:space="0" w:color="auto"/>
        <w:left w:val="none" w:sz="0" w:space="0" w:color="auto"/>
        <w:bottom w:val="none" w:sz="0" w:space="0" w:color="auto"/>
        <w:right w:val="none" w:sz="0" w:space="0" w:color="auto"/>
      </w:divBdr>
      <w:divsChild>
        <w:div w:id="1468209090">
          <w:marLeft w:val="0"/>
          <w:marRight w:val="0"/>
          <w:marTop w:val="0"/>
          <w:marBottom w:val="0"/>
          <w:divBdr>
            <w:top w:val="none" w:sz="0" w:space="0" w:color="auto"/>
            <w:left w:val="none" w:sz="0" w:space="0" w:color="auto"/>
            <w:bottom w:val="none" w:sz="0" w:space="0" w:color="auto"/>
            <w:right w:val="none" w:sz="0" w:space="0" w:color="auto"/>
          </w:divBdr>
        </w:div>
      </w:divsChild>
    </w:div>
    <w:div w:id="236021142">
      <w:bodyDiv w:val="1"/>
      <w:marLeft w:val="0"/>
      <w:marRight w:val="0"/>
      <w:marTop w:val="0"/>
      <w:marBottom w:val="0"/>
      <w:divBdr>
        <w:top w:val="none" w:sz="0" w:space="0" w:color="auto"/>
        <w:left w:val="none" w:sz="0" w:space="0" w:color="auto"/>
        <w:bottom w:val="none" w:sz="0" w:space="0" w:color="auto"/>
        <w:right w:val="none" w:sz="0" w:space="0" w:color="auto"/>
      </w:divBdr>
      <w:divsChild>
        <w:div w:id="251669507">
          <w:marLeft w:val="0"/>
          <w:marRight w:val="0"/>
          <w:marTop w:val="0"/>
          <w:marBottom w:val="0"/>
          <w:divBdr>
            <w:top w:val="none" w:sz="0" w:space="0" w:color="auto"/>
            <w:left w:val="none" w:sz="0" w:space="0" w:color="auto"/>
            <w:bottom w:val="none" w:sz="0" w:space="0" w:color="auto"/>
            <w:right w:val="none" w:sz="0" w:space="0" w:color="auto"/>
          </w:divBdr>
        </w:div>
      </w:divsChild>
    </w:div>
    <w:div w:id="797844388">
      <w:bodyDiv w:val="1"/>
      <w:marLeft w:val="0"/>
      <w:marRight w:val="0"/>
      <w:marTop w:val="0"/>
      <w:marBottom w:val="0"/>
      <w:divBdr>
        <w:top w:val="none" w:sz="0" w:space="0" w:color="auto"/>
        <w:left w:val="none" w:sz="0" w:space="0" w:color="auto"/>
        <w:bottom w:val="none" w:sz="0" w:space="0" w:color="auto"/>
        <w:right w:val="none" w:sz="0" w:space="0" w:color="auto"/>
      </w:divBdr>
      <w:divsChild>
        <w:div w:id="1500122014">
          <w:marLeft w:val="0"/>
          <w:marRight w:val="0"/>
          <w:marTop w:val="0"/>
          <w:marBottom w:val="0"/>
          <w:divBdr>
            <w:top w:val="none" w:sz="0" w:space="0" w:color="auto"/>
            <w:left w:val="none" w:sz="0" w:space="0" w:color="auto"/>
            <w:bottom w:val="none" w:sz="0" w:space="0" w:color="auto"/>
            <w:right w:val="none" w:sz="0" w:space="0" w:color="auto"/>
          </w:divBdr>
        </w:div>
      </w:divsChild>
    </w:div>
    <w:div w:id="851378924">
      <w:bodyDiv w:val="1"/>
      <w:marLeft w:val="0"/>
      <w:marRight w:val="0"/>
      <w:marTop w:val="0"/>
      <w:marBottom w:val="0"/>
      <w:divBdr>
        <w:top w:val="none" w:sz="0" w:space="0" w:color="auto"/>
        <w:left w:val="none" w:sz="0" w:space="0" w:color="auto"/>
        <w:bottom w:val="none" w:sz="0" w:space="0" w:color="auto"/>
        <w:right w:val="none" w:sz="0" w:space="0" w:color="auto"/>
      </w:divBdr>
      <w:divsChild>
        <w:div w:id="1417046495">
          <w:marLeft w:val="0"/>
          <w:marRight w:val="0"/>
          <w:marTop w:val="0"/>
          <w:marBottom w:val="0"/>
          <w:divBdr>
            <w:top w:val="none" w:sz="0" w:space="0" w:color="auto"/>
            <w:left w:val="none" w:sz="0" w:space="0" w:color="auto"/>
            <w:bottom w:val="none" w:sz="0" w:space="0" w:color="auto"/>
            <w:right w:val="none" w:sz="0" w:space="0" w:color="auto"/>
          </w:divBdr>
        </w:div>
      </w:divsChild>
    </w:div>
    <w:div w:id="1162622123">
      <w:bodyDiv w:val="1"/>
      <w:marLeft w:val="0"/>
      <w:marRight w:val="0"/>
      <w:marTop w:val="0"/>
      <w:marBottom w:val="0"/>
      <w:divBdr>
        <w:top w:val="none" w:sz="0" w:space="0" w:color="auto"/>
        <w:left w:val="none" w:sz="0" w:space="0" w:color="auto"/>
        <w:bottom w:val="none" w:sz="0" w:space="0" w:color="auto"/>
        <w:right w:val="none" w:sz="0" w:space="0" w:color="auto"/>
      </w:divBdr>
      <w:divsChild>
        <w:div w:id="85686722">
          <w:marLeft w:val="0"/>
          <w:marRight w:val="0"/>
          <w:marTop w:val="0"/>
          <w:marBottom w:val="0"/>
          <w:divBdr>
            <w:top w:val="none" w:sz="0" w:space="0" w:color="auto"/>
            <w:left w:val="none" w:sz="0" w:space="0" w:color="auto"/>
            <w:bottom w:val="none" w:sz="0" w:space="0" w:color="auto"/>
            <w:right w:val="none" w:sz="0" w:space="0" w:color="auto"/>
          </w:divBdr>
        </w:div>
      </w:divsChild>
    </w:div>
    <w:div w:id="1418282610">
      <w:bodyDiv w:val="1"/>
      <w:marLeft w:val="0"/>
      <w:marRight w:val="0"/>
      <w:marTop w:val="0"/>
      <w:marBottom w:val="0"/>
      <w:divBdr>
        <w:top w:val="none" w:sz="0" w:space="0" w:color="auto"/>
        <w:left w:val="none" w:sz="0" w:space="0" w:color="auto"/>
        <w:bottom w:val="none" w:sz="0" w:space="0" w:color="auto"/>
        <w:right w:val="none" w:sz="0" w:space="0" w:color="auto"/>
      </w:divBdr>
      <w:divsChild>
        <w:div w:id="1380783715">
          <w:marLeft w:val="0"/>
          <w:marRight w:val="0"/>
          <w:marTop w:val="0"/>
          <w:marBottom w:val="0"/>
          <w:divBdr>
            <w:top w:val="none" w:sz="0" w:space="0" w:color="auto"/>
            <w:left w:val="none" w:sz="0" w:space="0" w:color="auto"/>
            <w:bottom w:val="none" w:sz="0" w:space="0" w:color="auto"/>
            <w:right w:val="none" w:sz="0" w:space="0" w:color="auto"/>
          </w:divBdr>
        </w:div>
      </w:divsChild>
    </w:div>
    <w:div w:id="1427455352">
      <w:bodyDiv w:val="1"/>
      <w:marLeft w:val="0"/>
      <w:marRight w:val="0"/>
      <w:marTop w:val="0"/>
      <w:marBottom w:val="0"/>
      <w:divBdr>
        <w:top w:val="none" w:sz="0" w:space="0" w:color="auto"/>
        <w:left w:val="none" w:sz="0" w:space="0" w:color="auto"/>
        <w:bottom w:val="none" w:sz="0" w:space="0" w:color="auto"/>
        <w:right w:val="none" w:sz="0" w:space="0" w:color="auto"/>
      </w:divBdr>
      <w:divsChild>
        <w:div w:id="1916432711">
          <w:marLeft w:val="0"/>
          <w:marRight w:val="0"/>
          <w:marTop w:val="0"/>
          <w:marBottom w:val="0"/>
          <w:divBdr>
            <w:top w:val="none" w:sz="0" w:space="0" w:color="auto"/>
            <w:left w:val="none" w:sz="0" w:space="0" w:color="auto"/>
            <w:bottom w:val="none" w:sz="0" w:space="0" w:color="auto"/>
            <w:right w:val="none" w:sz="0" w:space="0" w:color="auto"/>
          </w:divBdr>
        </w:div>
      </w:divsChild>
    </w:div>
    <w:div w:id="1459759629">
      <w:bodyDiv w:val="1"/>
      <w:marLeft w:val="0"/>
      <w:marRight w:val="0"/>
      <w:marTop w:val="0"/>
      <w:marBottom w:val="0"/>
      <w:divBdr>
        <w:top w:val="none" w:sz="0" w:space="0" w:color="auto"/>
        <w:left w:val="none" w:sz="0" w:space="0" w:color="auto"/>
        <w:bottom w:val="none" w:sz="0" w:space="0" w:color="auto"/>
        <w:right w:val="none" w:sz="0" w:space="0" w:color="auto"/>
      </w:divBdr>
      <w:divsChild>
        <w:div w:id="488449356">
          <w:marLeft w:val="0"/>
          <w:marRight w:val="0"/>
          <w:marTop w:val="0"/>
          <w:marBottom w:val="0"/>
          <w:divBdr>
            <w:top w:val="none" w:sz="0" w:space="0" w:color="auto"/>
            <w:left w:val="none" w:sz="0" w:space="0" w:color="auto"/>
            <w:bottom w:val="none" w:sz="0" w:space="0" w:color="auto"/>
            <w:right w:val="none" w:sz="0" w:space="0" w:color="auto"/>
          </w:divBdr>
        </w:div>
      </w:divsChild>
    </w:div>
    <w:div w:id="1485899345">
      <w:bodyDiv w:val="1"/>
      <w:marLeft w:val="0"/>
      <w:marRight w:val="0"/>
      <w:marTop w:val="0"/>
      <w:marBottom w:val="0"/>
      <w:divBdr>
        <w:top w:val="none" w:sz="0" w:space="0" w:color="auto"/>
        <w:left w:val="none" w:sz="0" w:space="0" w:color="auto"/>
        <w:bottom w:val="none" w:sz="0" w:space="0" w:color="auto"/>
        <w:right w:val="none" w:sz="0" w:space="0" w:color="auto"/>
      </w:divBdr>
      <w:divsChild>
        <w:div w:id="1522667673">
          <w:marLeft w:val="0"/>
          <w:marRight w:val="0"/>
          <w:marTop w:val="0"/>
          <w:marBottom w:val="0"/>
          <w:divBdr>
            <w:top w:val="none" w:sz="0" w:space="0" w:color="auto"/>
            <w:left w:val="none" w:sz="0" w:space="0" w:color="auto"/>
            <w:bottom w:val="none" w:sz="0" w:space="0" w:color="auto"/>
            <w:right w:val="none" w:sz="0" w:space="0" w:color="auto"/>
          </w:divBdr>
        </w:div>
      </w:divsChild>
    </w:div>
    <w:div w:id="1495760379">
      <w:bodyDiv w:val="1"/>
      <w:marLeft w:val="0"/>
      <w:marRight w:val="0"/>
      <w:marTop w:val="0"/>
      <w:marBottom w:val="0"/>
      <w:divBdr>
        <w:top w:val="none" w:sz="0" w:space="0" w:color="auto"/>
        <w:left w:val="none" w:sz="0" w:space="0" w:color="auto"/>
        <w:bottom w:val="none" w:sz="0" w:space="0" w:color="auto"/>
        <w:right w:val="none" w:sz="0" w:space="0" w:color="auto"/>
      </w:divBdr>
      <w:divsChild>
        <w:div w:id="174153343">
          <w:marLeft w:val="0"/>
          <w:marRight w:val="0"/>
          <w:marTop w:val="0"/>
          <w:marBottom w:val="0"/>
          <w:divBdr>
            <w:top w:val="none" w:sz="0" w:space="0" w:color="auto"/>
            <w:left w:val="none" w:sz="0" w:space="0" w:color="auto"/>
            <w:bottom w:val="none" w:sz="0" w:space="0" w:color="auto"/>
            <w:right w:val="none" w:sz="0" w:space="0" w:color="auto"/>
          </w:divBdr>
        </w:div>
      </w:divsChild>
    </w:div>
    <w:div w:id="1973633448">
      <w:bodyDiv w:val="1"/>
      <w:marLeft w:val="0"/>
      <w:marRight w:val="0"/>
      <w:marTop w:val="0"/>
      <w:marBottom w:val="0"/>
      <w:divBdr>
        <w:top w:val="none" w:sz="0" w:space="0" w:color="auto"/>
        <w:left w:val="none" w:sz="0" w:space="0" w:color="auto"/>
        <w:bottom w:val="none" w:sz="0" w:space="0" w:color="auto"/>
        <w:right w:val="none" w:sz="0" w:space="0" w:color="auto"/>
      </w:divBdr>
      <w:divsChild>
        <w:div w:id="1148353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ice21.org/national-storytelling-week-creative-writing-and-oracy/?utm_source=chatgpt.com" TargetMode="External"/><Relationship Id="rId13" Type="http://schemas.openxmlformats.org/officeDocument/2006/relationships/hyperlink" Target="https://oracycambridge.org/how-should-we-teach-presentational-talk/?utm_source=chatgpt.com" TargetMode="External"/><Relationship Id="rId3" Type="http://schemas.openxmlformats.org/officeDocument/2006/relationships/webSettings" Target="webSettings.xml"/><Relationship Id="rId7" Type="http://schemas.openxmlformats.org/officeDocument/2006/relationships/hyperlink" Target="https://oracycambridge.org/resources/?utm_source=chatgpt.com" TargetMode="External"/><Relationship Id="rId12" Type="http://schemas.openxmlformats.org/officeDocument/2006/relationships/hyperlink" Target="https://voice21.org/supporting-quiet-students-in-an-oracy-rich-classroom/?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voice21.org/oracy-community-building/?utm_source=chatgpt.com" TargetMode="External"/><Relationship Id="rId11" Type="http://schemas.openxmlformats.org/officeDocument/2006/relationships/hyperlink" Target="https://oracycambridge.org/resources/?utm_source=chatgpt.com" TargetMode="External"/><Relationship Id="rId5" Type="http://schemas.openxmlformats.org/officeDocument/2006/relationships/hyperlink" Target="https://oracycambridge.org/resources/?utm_source=chatgpt.com" TargetMode="External"/><Relationship Id="rId15" Type="http://schemas.openxmlformats.org/officeDocument/2006/relationships/fontTable" Target="fontTable.xml"/><Relationship Id="rId10" Type="http://schemas.openxmlformats.org/officeDocument/2006/relationships/hyperlink" Target="https://voice21.org/how-to-develop-independent-student-discussion/?utm_source=chatgpt.com" TargetMode="External"/><Relationship Id="rId4" Type="http://schemas.openxmlformats.org/officeDocument/2006/relationships/hyperlink" Target="https://www.edutopia.org/article/strategies-for-supporting-students-speaking-and-listening-skills/?utm_source=chatgpt.com" TargetMode="External"/><Relationship Id="rId9" Type="http://schemas.openxmlformats.org/officeDocument/2006/relationships/hyperlink" Target="https://oracycambridge.org/resources/?utm_source=chatgpt.com" TargetMode="External"/><Relationship Id="rId14" Type="http://schemas.openxmlformats.org/officeDocument/2006/relationships/hyperlink" Target="https://oracycambridge.org/oracy-for-al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Hill</dc:creator>
  <cp:keywords/>
  <dc:description/>
  <cp:lastModifiedBy>M Hill</cp:lastModifiedBy>
  <cp:revision>2</cp:revision>
  <dcterms:created xsi:type="dcterms:W3CDTF">2025-02-12T11:35:00Z</dcterms:created>
  <dcterms:modified xsi:type="dcterms:W3CDTF">2025-02-20T22:19:00Z</dcterms:modified>
</cp:coreProperties>
</file>